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00"/>
        <w:jc w:val="center"/>
      </w:pPr>
      <w:r>
        <w:rPr>
          <w:b/>
          <w:color w:val="D6A84A"/>
          <w:sz w:val="60"/>
        </w:rPr>
        <w:t>CALLERTUNES</w:t>
      </w:r>
    </w:p>
    <w:p>
      <w:pPr>
        <w:jc w:val="center"/>
      </w:pPr>
      <w:r>
        <w:rPr>
          <w:b/>
          <w:color w:val="11131A"/>
          <w:sz w:val="42"/>
        </w:rPr>
        <w:t>CRBT DISTRIBUTION AGREEMENT</w:t>
      </w:r>
    </w:p>
    <w:p>
      <w:pPr>
        <w:jc w:val="center"/>
      </w:pPr>
      <w:r>
        <w:rPr>
          <w:color w:val="5B6068"/>
          <w:sz w:val="22"/>
        </w:rPr>
        <w:t>A simple agreement for distributing approved content as Caller Ring Back Tunes</w:t>
      </w:r>
    </w:p>
    <w:tbl>
      <w:tblPr>
        <w:tblW w:type="auto" w:w="0"/>
        <w:jc w:val="center"/>
        <w:tblLook w:firstColumn="1" w:firstRow="1" w:lastColumn="0" w:lastRow="0" w:noHBand="0" w:noVBand="1" w:val="04A0"/>
      </w:tblPr>
      <w:tblGrid>
        <w:gridCol w:w="9936"/>
      </w:tblGrid>
      <w:tr>
        <w:tc>
          <w:tcPr>
            <w:tcW w:type="dxa" w:w="9936"/>
            <w:shd w:fill="F4F4F2"/>
          </w:tcPr>
          <w:p>
            <w:r>
              <w:rPr>
                <w:b/>
                <w:color w:val="11131A"/>
              </w:rPr>
              <w:t>PARTIES</w:t>
            </w:r>
          </w:p>
          <w:p>
            <w:pPr>
              <w:spacing w:after="40"/>
            </w:pPr>
            <w:r>
              <w:t>NovaClarius Limited (RC No. 1201692) and the Artist / Content Owner identified in the Commercial Schedule.</w:t>
            </w:r>
          </w:p>
        </w:tc>
      </w:tr>
    </w:tbl>
    <w:p>
      <w:pPr>
        <w:spacing w:after="20"/>
      </w:pPr>
    </w:p>
    <w:tbl>
      <w:tblPr>
        <w:tblW w:type="auto" w:w="0"/>
        <w:jc w:val="center"/>
        <w:tblLook w:firstColumn="1" w:firstRow="1" w:lastColumn="0" w:lastRow="0" w:noHBand="0" w:noVBand="1" w:val="04A0"/>
      </w:tblPr>
      <w:tblGrid>
        <w:gridCol w:w="9936"/>
      </w:tblGrid>
      <w:tr>
        <w:tc>
          <w:tcPr>
            <w:tcW w:type="dxa" w:w="9936"/>
            <w:shd w:fill="F4F4F2"/>
          </w:tcPr>
          <w:p>
            <w:r>
              <w:rPr>
                <w:b/>
                <w:color w:val="11131A"/>
              </w:rPr>
              <w:t>TERM</w:t>
            </w:r>
          </w:p>
          <w:p>
            <w:pPr>
              <w:spacing w:after="40"/>
            </w:pPr>
            <w:r>
              <w:t>Five (5) years from the Agreement Start Date, unless ended earlier under this Agreement.</w:t>
            </w:r>
          </w:p>
        </w:tc>
      </w:tr>
    </w:tbl>
    <w:p>
      <w:pPr>
        <w:spacing w:after="20"/>
      </w:pPr>
    </w:p>
    <w:tbl>
      <w:tblPr>
        <w:tblW w:type="auto" w:w="0"/>
        <w:jc w:val="center"/>
        <w:tblLook w:firstColumn="1" w:firstRow="1" w:lastColumn="0" w:lastRow="0" w:noHBand="0" w:noVBand="1" w:val="04A0"/>
      </w:tblPr>
      <w:tblGrid>
        <w:gridCol w:w="9936"/>
      </w:tblGrid>
      <w:tr>
        <w:tc>
          <w:tcPr>
            <w:tcW w:type="dxa" w:w="9936"/>
            <w:shd w:fill="F4F4F2"/>
          </w:tcPr>
          <w:p>
            <w:r>
              <w:rPr>
                <w:b/>
                <w:color w:val="11131A"/>
              </w:rPr>
              <w:t>TERRITORY</w:t>
            </w:r>
          </w:p>
          <w:p>
            <w:pPr>
              <w:spacing w:after="40"/>
            </w:pPr>
            <w:r>
              <w:t>Nigeria and the African continent, subject to Operator availability and approval.</w:t>
            </w:r>
          </w:p>
        </w:tc>
      </w:tr>
    </w:tbl>
    <w:p>
      <w:pPr>
        <w:spacing w:after="20"/>
      </w:pPr>
    </w:p>
    <w:p>
      <w:pPr>
        <w:jc w:val="center"/>
      </w:pPr>
      <w:r>
        <w:rPr>
          <w:b/>
        </w:rPr>
        <w:t>Effective Date: ______________________________</w:t>
      </w:r>
    </w:p>
    <w:p>
      <w:r>
        <w:br w:type="page"/>
      </w:r>
    </w:p>
    <w:p>
      <w:pPr>
        <w:pStyle w:val="Heading1"/>
      </w:pPr>
      <w:r>
        <w:t>1. The Agreement</w:t>
      </w:r>
    </w:p>
    <w:p>
      <w:pPr>
        <w:spacing w:after="100" w:line="259" w:lineRule="auto"/>
      </w:pPr>
      <w:r>
        <w:rPr>
          <w:b w:val="0"/>
          <w:i w:val="0"/>
        </w:rPr>
        <w:t>This CallerTunes CRBT Distribution Agreement (“Agreement”) is made between NovaClarius Limited (“NovaClarius”) and the Artist, Creator, Rights Holder, Label or other authorised person identified in the Commercial Schedule (“Content Owner”).</w:t>
      </w:r>
    </w:p>
    <w:p>
      <w:pPr>
        <w:spacing w:after="100" w:line="259" w:lineRule="auto"/>
      </w:pPr>
      <w:r>
        <w:rPr>
          <w:b w:val="0"/>
          <w:i w:val="0"/>
        </w:rPr>
        <w:t>The parties agree that NovaClarius will prepare, distribute, administer and commercialise the approved content listed in the Content Schedule as Caller Ring Back Tunes (“CRBT”) through supported mobile network operators and CRBT platforms within the Territory.</w:t>
      </w:r>
    </w:p>
    <w:p>
      <w:pPr>
        <w:spacing w:after="100" w:line="259" w:lineRule="auto"/>
      </w:pPr>
      <w:r>
        <w:rPr>
          <w:b w:val="0"/>
          <w:i w:val="0"/>
        </w:rPr>
        <w:t>This Agreement is intended to be clear and practical. The specific commercial arrangement agreed with the Content Owner is recorded in the Commercial Schedule.</w:t>
      </w:r>
    </w:p>
    <w:p>
      <w:pPr>
        <w:pStyle w:val="Heading1"/>
      </w:pPr>
      <w:r>
        <w:t>2. What is being licensed?</w:t>
      </w:r>
    </w:p>
    <w:p>
      <w:pPr>
        <w:spacing w:after="100" w:line="259" w:lineRule="auto"/>
      </w:pPr>
      <w:r>
        <w:rPr>
          <w:b w:val="0"/>
          <w:i w:val="0"/>
        </w:rPr>
        <w:t>The Content Owner grants NovaClarius the rights necessary to use the approved content for CRBT distribution during the Term and within the Territory.</w:t>
      </w:r>
    </w:p>
    <w:p>
      <w:pPr>
        <w:spacing w:after="100" w:line="259" w:lineRule="auto"/>
      </w:pPr>
      <w:r>
        <w:rPr>
          <w:b w:val="0"/>
          <w:i w:val="0"/>
        </w:rPr>
        <w:t>The Content Owner chooses the licence type in the Commercial Schedule:</w:t>
      </w:r>
    </w:p>
    <w:p>
      <w:pPr>
        <w:pStyle w:val="ListBullet"/>
        <w:spacing w:after="40" w:line="252" w:lineRule="auto"/>
      </w:pPr>
      <w:r>
        <w:t>Exclusive - NovaClarius receives the agreed exclusive CRBT rights within the stated scope.</w:t>
      </w:r>
    </w:p>
    <w:p>
      <w:pPr>
        <w:pStyle w:val="ListBullet"/>
        <w:spacing w:after="40" w:line="252" w:lineRule="auto"/>
      </w:pPr>
      <w:r>
        <w:t>Non-exclusive - the Content Owner may grant similar CRBT rights to other parties.</w:t>
      </w:r>
    </w:p>
    <w:p>
      <w:pPr>
        <w:spacing w:after="100" w:line="259" w:lineRule="auto"/>
      </w:pPr>
      <w:r>
        <w:rPr>
          <w:b w:val="0"/>
          <w:i w:val="0"/>
        </w:rPr>
        <w:t>An exclusive CRBT licence does not transfer ownership of the copyright or other intellectual property in the content to NovaClarius.</w:t>
      </w:r>
    </w:p>
    <w:p>
      <w:pPr>
        <w:pStyle w:val="Heading1"/>
      </w:pPr>
      <w:r>
        <w:t>3. Territory</w:t>
      </w:r>
    </w:p>
    <w:p>
      <w:pPr>
        <w:spacing w:after="100" w:line="259" w:lineRule="auto"/>
      </w:pPr>
      <w:r>
        <w:rPr>
          <w:b w:val="0"/>
          <w:i w:val="0"/>
        </w:rPr>
        <w:t>The Territory is Nigeria and the African continent. Actual availability will depend on the Operators and platforms operating in each country, their technical requirements, commercial arrangements, regulatory requirements and approval processes.</w:t>
      </w:r>
    </w:p>
    <w:p>
      <w:pPr>
        <w:spacing w:after="100" w:line="259" w:lineRule="auto"/>
      </w:pPr>
      <w:r>
        <w:rPr>
          <w:b w:val="0"/>
          <w:i w:val="0"/>
        </w:rPr>
        <w:t>Use of the content outside Africa requires the parties’ written agreement or an amendment to this Agreement.</w:t>
      </w:r>
    </w:p>
    <w:p>
      <w:pPr>
        <w:pStyle w:val="Heading1"/>
      </w:pPr>
      <w:r>
        <w:t>4. Term</w:t>
      </w:r>
    </w:p>
    <w:p>
      <w:pPr>
        <w:spacing w:after="100" w:line="259" w:lineRule="auto"/>
      </w:pPr>
      <w:r>
        <w:rPr>
          <w:b w:val="0"/>
          <w:i w:val="0"/>
        </w:rPr>
        <w:t>The Agreement runs for five (5) years from the Agreement Start Date stated in the Commercial Schedule and ends on the Agreement End Date stated there, unless terminated earlier in accordance with this Agreement.</w:t>
      </w:r>
    </w:p>
    <w:p>
      <w:pPr>
        <w:spacing w:after="100" w:line="259" w:lineRule="auto"/>
      </w:pPr>
      <w:r>
        <w:rPr>
          <w:b w:val="0"/>
          <w:i w:val="0"/>
        </w:rPr>
        <w:t>The parties may agree to renew the arrangement at the end of the Term on terms applicable at that time.</w:t>
      </w:r>
    </w:p>
    <w:p>
      <w:pPr>
        <w:pStyle w:val="Heading1"/>
      </w:pPr>
      <w:r>
        <w:t>5. What NovaClarius will do</w:t>
      </w:r>
    </w:p>
    <w:p>
      <w:pPr>
        <w:spacing w:after="100" w:line="259" w:lineRule="auto"/>
      </w:pPr>
      <w:r>
        <w:rPr>
          <w:b w:val="0"/>
          <w:i w:val="0"/>
        </w:rPr>
        <w:t>Subject to receiving the required information, content and rights documentation, NovaClarius will:</w:t>
      </w:r>
    </w:p>
    <w:p>
      <w:pPr>
        <w:pStyle w:val="ListBullet"/>
        <w:spacing w:after="40" w:line="252" w:lineRule="auto"/>
      </w:pPr>
      <w:r>
        <w:t>prepare the content for CRBT deployment, including an appropriate 30–45 second version where required;</w:t>
      </w:r>
    </w:p>
    <w:p>
      <w:pPr>
        <w:pStyle w:val="ListBullet"/>
        <w:spacing w:after="40" w:line="252" w:lineRule="auto"/>
      </w:pPr>
      <w:r>
        <w:t>prepare required metadata and arrange or assist with applicable ISRC requirements;</w:t>
      </w:r>
    </w:p>
    <w:p>
      <w:pPr>
        <w:pStyle w:val="ListBullet"/>
        <w:spacing w:after="40" w:line="252" w:lineRule="auto"/>
      </w:pPr>
      <w:r>
        <w:t>submit content to relevant Operators and manage the onboarding process;</w:t>
      </w:r>
    </w:p>
    <w:p>
      <w:pPr>
        <w:pStyle w:val="ListBullet"/>
        <w:spacing w:after="40" w:line="252" w:lineRule="auto"/>
      </w:pPr>
      <w:r>
        <w:t>arrange or facilitate CRBT tune codes and activation information;</w:t>
      </w:r>
    </w:p>
    <w:p>
      <w:pPr>
        <w:pStyle w:val="ListBullet"/>
        <w:spacing w:after="40" w:line="252" w:lineRule="auto"/>
      </w:pPr>
      <w:r>
        <w:t>administer applicable reporting and revenue processes; and</w:t>
      </w:r>
    </w:p>
    <w:p>
      <w:pPr>
        <w:pStyle w:val="ListBullet"/>
        <w:spacing w:after="40" w:line="252" w:lineRule="auto"/>
      </w:pPr>
      <w:r>
        <w:t>provide reasonable support relating to the distributed content.</w:t>
      </w:r>
    </w:p>
    <w:p>
      <w:pPr>
        <w:spacing w:after="100" w:line="259" w:lineRule="auto"/>
      </w:pPr>
      <w:r>
        <w:rPr>
          <w:b w:val="0"/>
          <w:i w:val="0"/>
        </w:rPr>
        <w:t>Operator approval is outside NovaClarius’s control. NovaClarius does not guarantee that every submitted item will be approved or deployed by an Operator.</w:t>
      </w:r>
    </w:p>
    <w:p>
      <w:pPr>
        <w:pStyle w:val="Heading1"/>
      </w:pPr>
      <w:r>
        <w:t>6. Rights, ownership and authorisation</w:t>
      </w:r>
    </w:p>
    <w:p>
      <w:pPr>
        <w:spacing w:after="100" w:line="259" w:lineRule="auto"/>
      </w:pPr>
      <w:r>
        <w:rPr>
          <w:b w:val="0"/>
          <w:i w:val="0"/>
        </w:rPr>
        <w:t>The Content Owner confirms that they own the relevant rights or are legally authorised to grant the rights provided under this Agreement.</w:t>
      </w:r>
    </w:p>
    <w:p>
      <w:pPr>
        <w:spacing w:after="100" w:line="259" w:lineRule="auto"/>
      </w:pPr>
      <w:r>
        <w:rPr>
          <w:b w:val="0"/>
          <w:i w:val="0"/>
        </w:rPr>
        <w:t>Where applicable, the Content Owner must provide:</w:t>
      </w:r>
    </w:p>
    <w:p>
      <w:pPr>
        <w:pStyle w:val="ListBullet"/>
        <w:spacing w:after="40" w:line="252" w:lineRule="auto"/>
      </w:pPr>
      <w:r>
        <w:t>evidence of ownership or distribution authority;</w:t>
      </w:r>
    </w:p>
    <w:p>
      <w:pPr>
        <w:pStyle w:val="ListBullet"/>
        <w:spacing w:after="40" w:line="252" w:lineRule="auto"/>
      </w:pPr>
      <w:r>
        <w:t>signed rights documentation;</w:t>
      </w:r>
    </w:p>
    <w:p>
      <w:pPr>
        <w:pStyle w:val="ListBullet"/>
        <w:spacing w:after="40" w:line="252" w:lineRule="auto"/>
      </w:pPr>
      <w:r>
        <w:t>valid identification of the relevant rights holder/licensor;</w:t>
      </w:r>
    </w:p>
    <w:p>
      <w:pPr>
        <w:pStyle w:val="ListBullet"/>
        <w:spacing w:after="40" w:line="252" w:lineRule="auto"/>
      </w:pPr>
      <w:r>
        <w:t>co-owner, contributor, label or publisher authorisations where required;</w:t>
      </w:r>
    </w:p>
    <w:p>
      <w:pPr>
        <w:pStyle w:val="ListBullet"/>
        <w:spacing w:after="40" w:line="252" w:lineRule="auto"/>
      </w:pPr>
      <w:r>
        <w:t>permissions for covers, samples, remixes, collaborations or other third-party material; and</w:t>
      </w:r>
    </w:p>
    <w:p>
      <w:pPr>
        <w:pStyle w:val="ListBullet"/>
        <w:spacing w:after="40" w:line="252" w:lineRule="auto"/>
      </w:pPr>
      <w:r>
        <w:t>any other documentation reasonably required by NovaClarius or an Operator.</w:t>
      </w:r>
    </w:p>
    <w:p>
      <w:pPr>
        <w:spacing w:after="100" w:line="259" w:lineRule="auto"/>
      </w:pPr>
      <w:r>
        <w:rPr>
          <w:b w:val="0"/>
          <w:i w:val="0"/>
        </w:rPr>
        <w:t>Video Authorisation: where requested, the Content Owner shall provide a short video authorisation confirming their identity, ownership or authority over the content and their authorisation for NovaClarius to distribute the content as CRBT. The video may be retained as part of NovaClarius’s rights-verification records.</w:t>
      </w:r>
    </w:p>
    <w:p>
      <w:pPr>
        <w:spacing w:after="100" w:line="259" w:lineRule="auto"/>
      </w:pPr>
      <w:r>
        <w:rPr>
          <w:b w:val="0"/>
          <w:i w:val="0"/>
        </w:rPr>
        <w:t>The Content Owner warrants that the information and documents supplied are materially accurate and shall promptly notify NovaClarius of any dispute, claim or change affecting the licensed rights.</w:t>
      </w:r>
    </w:p>
    <w:p>
      <w:pPr>
        <w:pStyle w:val="Heading1"/>
      </w:pPr>
      <w:r>
        <w:t>7. Copyright and intellectual property</w:t>
      </w:r>
    </w:p>
    <w:p>
      <w:pPr>
        <w:spacing w:after="100" w:line="259" w:lineRule="auto"/>
      </w:pPr>
      <w:r>
        <w:rPr>
          <w:b w:val="0"/>
          <w:i w:val="0"/>
        </w:rPr>
        <w:t>Copyright and other intellectual property ownership remain with the Content Owner or the relevant rights holders. NovaClarius receives only the rights expressly granted under this Agreement.</w:t>
      </w:r>
    </w:p>
    <w:p>
      <w:pPr>
        <w:spacing w:after="100" w:line="259" w:lineRule="auto"/>
      </w:pPr>
      <w:r>
        <w:rPr>
          <w:b w:val="0"/>
          <w:i w:val="0"/>
        </w:rPr>
        <w:t>NovaClarius may create or commission technical adaptations needed for CRBT deployment, including approved excerpts, metadata, file-format conversions and other operational materials. Such technical adaptations do not transfer ownership of the underlying content.</w:t>
      </w:r>
    </w:p>
    <w:p>
      <w:pPr>
        <w:pStyle w:val="Heading1"/>
      </w:pPr>
      <w:r>
        <w:t>8. Revenue share</w:t>
      </w:r>
    </w:p>
    <w:tbl>
      <w:tblPr>
        <w:tblW w:type="auto" w:w="0"/>
        <w:jc w:val="center"/>
        <w:tblLook w:firstColumn="1" w:firstRow="1" w:lastColumn="0" w:lastRow="0" w:noHBand="0" w:noVBand="1" w:val="04A0"/>
      </w:tblPr>
      <w:tblGrid>
        <w:gridCol w:w="9936"/>
      </w:tblGrid>
      <w:tr>
        <w:tc>
          <w:tcPr>
            <w:tcW w:type="dxa" w:w="9936"/>
            <w:shd w:fill="F4F4F2"/>
          </w:tcPr>
          <w:p>
            <w:r>
              <w:rPr>
                <w:b/>
                <w:color w:val="11131A"/>
              </w:rPr>
              <w:t>STANDARD MODEL</w:t>
            </w:r>
          </w:p>
          <w:p>
            <w:pPr>
              <w:spacing w:after="40"/>
            </w:pPr>
            <w:r>
              <w:t>Unless another arrangement is recorded in the Commercial Schedule, the Content Owner receives 50% of Net Revenue received by NovaClarius from the relevant Operator in respect of the licensed content.</w:t>
            </w:r>
          </w:p>
        </w:tc>
      </w:tr>
    </w:tbl>
    <w:p>
      <w:pPr>
        <w:spacing w:after="20"/>
      </w:pPr>
    </w:p>
    <w:p>
      <w:pPr>
        <w:spacing w:after="100" w:line="259" w:lineRule="auto"/>
      </w:pPr>
      <w:r>
        <w:rPr>
          <w:b w:val="0"/>
          <w:i w:val="0"/>
        </w:rPr>
        <w:t>The parties may agree a different revenue-share percentage, fixed payment, minimum guarantee or other commercial model. Any alternative arrangement must be stated in the Commercial Schedule.</w:t>
      </w:r>
    </w:p>
    <w:p>
      <w:pPr>
        <w:spacing w:after="100" w:line="259" w:lineRule="auto"/>
      </w:pPr>
      <w:r>
        <w:rPr>
          <w:b w:val="0"/>
          <w:i w:val="0"/>
        </w:rPr>
        <w:t>“Net Revenue” means revenue actually received by NovaClarius from an Operator and attributable to the licensed content, after the deductions expressly identified and agreed in the applicable Commercial Schedule.</w:t>
      </w:r>
    </w:p>
    <w:p>
      <w:pPr>
        <w:pStyle w:val="Heading1"/>
      </w:pPr>
      <w:r>
        <w:t>9. Payment and reporting</w:t>
      </w:r>
    </w:p>
    <w:p>
      <w:pPr>
        <w:spacing w:after="100" w:line="259" w:lineRule="auto"/>
      </w:pPr>
      <w:r>
        <w:rPr>
          <w:b w:val="0"/>
          <w:i w:val="0"/>
        </w:rPr>
        <w:t>Unless the Commercial Schedule states otherwise:</w:t>
      </w:r>
    </w:p>
    <w:p>
      <w:pPr>
        <w:pStyle w:val="ListBullet"/>
        <w:spacing w:after="40" w:line="252" w:lineRule="auto"/>
      </w:pPr>
      <w:r>
        <w:t>the normal payment cycle is quarterly;</w:t>
      </w:r>
    </w:p>
    <w:p>
      <w:pPr>
        <w:pStyle w:val="ListBullet"/>
        <w:spacing w:after="40" w:line="252" w:lineRule="auto"/>
      </w:pPr>
      <w:r>
        <w:t>monthly payment or reporting may be requested where operationally practicable;</w:t>
      </w:r>
    </w:p>
    <w:p>
      <w:pPr>
        <w:pStyle w:val="ListBullet"/>
        <w:spacing w:after="40" w:line="252" w:lineRule="auto"/>
      </w:pPr>
      <w:r>
        <w:t>the minimum payout threshold is ₦10,000;</w:t>
      </w:r>
    </w:p>
    <w:p>
      <w:pPr>
        <w:pStyle w:val="ListBullet"/>
        <w:spacing w:after="40" w:line="252" w:lineRule="auto"/>
      </w:pPr>
      <w:r>
        <w:t>amounts below the threshold may be carried forward until the threshold is reached; and</w:t>
      </w:r>
    </w:p>
    <w:p>
      <w:pPr>
        <w:pStyle w:val="ListBullet"/>
        <w:spacing w:after="40" w:line="252" w:lineRule="auto"/>
      </w:pPr>
      <w:r>
        <w:t>the Content Owner may request reasonable revenue information relating to their content, subject to the availability of Operator and distribution data.</w:t>
      </w:r>
    </w:p>
    <w:p>
      <w:pPr>
        <w:spacing w:after="100" w:line="259" w:lineRule="auto"/>
      </w:pPr>
      <w:r>
        <w:rPr>
          <w:b w:val="0"/>
          <w:i w:val="0"/>
        </w:rPr>
        <w:t>The detailed calculation and commercial arrangement are governed by the Commercial Schedule.</w:t>
      </w:r>
    </w:p>
    <w:p>
      <w:pPr>
        <w:pStyle w:val="Heading1"/>
      </w:pPr>
      <w:r>
        <w:t>10. Deployment failure and refund</w:t>
      </w:r>
    </w:p>
    <w:p>
      <w:pPr>
        <w:spacing w:after="100" w:line="259" w:lineRule="auto"/>
      </w:pPr>
      <w:r>
        <w:rPr>
          <w:b w:val="0"/>
          <w:i w:val="0"/>
        </w:rPr>
        <w:t>Where a deployment/setup fee has been paid and NovaClarius is unable to deploy the content because of a qualifying rights issue not caused by the Content Owner, Operator rejection, a technical/deployment circumstance, or another qualifying circumstance recognised by NovaClarius, the applicable deployment/setup fee will be refunded in full, subject to the applicable package and Commercial Schedule.</w:t>
      </w:r>
    </w:p>
    <w:p>
      <w:pPr>
        <w:spacing w:after="100" w:line="259" w:lineRule="auto"/>
      </w:pPr>
      <w:r>
        <w:rPr>
          <w:b w:val="0"/>
          <w:i w:val="0"/>
        </w:rPr>
        <w:t>Where deployment cannot proceed because the Content Owner supplied false, incomplete or invalid rights information or failed to provide required documentation, the refund position may be different.</w:t>
      </w:r>
    </w:p>
    <w:p>
      <w:pPr>
        <w:pStyle w:val="Heading1"/>
      </w:pPr>
      <w:r>
        <w:t>11. Marketing</w:t>
      </w:r>
    </w:p>
    <w:p>
      <w:pPr>
        <w:spacing w:after="100" w:line="259" w:lineRule="auto"/>
      </w:pPr>
      <w:r>
        <w:rPr>
          <w:b w:val="0"/>
          <w:i w:val="0"/>
        </w:rPr>
        <w:t>During the Term, the Content Owner permits NovaClarius to use the Content Owner’s name, stage/brand name, approved photograph or artwork, content title and reasonable approved excerpts solely to promote the Content Owner’s participation in CallerTunes and the availability of the licensed content as CRBT.</w:t>
      </w:r>
    </w:p>
    <w:p>
      <w:pPr>
        <w:spacing w:after="100" w:line="259" w:lineRule="auto"/>
      </w:pPr>
      <w:r>
        <w:rPr>
          <w:b w:val="0"/>
          <w:i w:val="0"/>
        </w:rPr>
        <w:t>This permission does not transfer ownership of the Content Owner’s intellectual property.</w:t>
      </w:r>
    </w:p>
    <w:p>
      <w:pPr>
        <w:pStyle w:val="Heading1"/>
      </w:pPr>
      <w:r>
        <w:t>12. Removal and termination</w:t>
      </w:r>
    </w:p>
    <w:p>
      <w:pPr>
        <w:spacing w:after="100" w:line="259" w:lineRule="auto"/>
      </w:pPr>
      <w:r>
        <w:rPr>
          <w:b w:val="0"/>
          <w:i w:val="0"/>
        </w:rPr>
        <w:t>The Content Owner may request removal of licensed content. NovaClarius will process the request subject to Operator procedures, technical timelines, outstanding obligations and applicable law.</w:t>
      </w:r>
    </w:p>
    <w:p>
      <w:pPr>
        <w:spacing w:after="100" w:line="259" w:lineRule="auto"/>
      </w:pPr>
      <w:r>
        <w:rPr>
          <w:b w:val="0"/>
          <w:i w:val="0"/>
        </w:rPr>
        <w:t>NovaClarius may suspend or remove content where reasonably necessary because of an infringement claim, rights dispute, Operator requirement, regulatory or legal requirement, suspected fraud or misrepresentation, or material breach.</w:t>
      </w:r>
    </w:p>
    <w:p>
      <w:pPr>
        <w:spacing w:after="100" w:line="259" w:lineRule="auto"/>
      </w:pPr>
      <w:r>
        <w:rPr>
          <w:b w:val="0"/>
          <w:i w:val="0"/>
        </w:rPr>
        <w:t>Either party may terminate this Agreement for a material breach by the other party where the breach is not remedied within a reasonable period following written notice. The parties may also terminate by mutual written agreement.</w:t>
      </w:r>
    </w:p>
    <w:p>
      <w:pPr>
        <w:spacing w:after="100" w:line="259" w:lineRule="auto"/>
      </w:pPr>
      <w:r>
        <w:rPr>
          <w:b w:val="0"/>
          <w:i w:val="0"/>
        </w:rPr>
        <w:t>Termination does not affect accrued payment obligations or rights and liabilities that arose before termination. Following termination or expiry, NovaClarius will cease new distribution and initiate removal from applicable platforms subject to Operator procedures and technical timelines.</w:t>
      </w:r>
    </w:p>
    <w:p>
      <w:pPr>
        <w:pStyle w:val="Heading1"/>
      </w:pPr>
      <w:r>
        <w:t>13. Indemnity</w:t>
      </w:r>
    </w:p>
    <w:p>
      <w:pPr>
        <w:spacing w:after="100" w:line="259" w:lineRule="auto"/>
      </w:pPr>
      <w:r>
        <w:rPr>
          <w:b w:val="0"/>
          <w:i w:val="0"/>
        </w:rPr>
        <w:t>The Content Owner shall indemnify NovaClarius against third-party claims arising from a breach of the Content Owner’s warranties concerning ownership, authority or rights in the licensed content.</w:t>
      </w:r>
    </w:p>
    <w:p>
      <w:pPr>
        <w:spacing w:after="100" w:line="259" w:lineRule="auto"/>
      </w:pPr>
      <w:r>
        <w:rPr>
          <w:b w:val="0"/>
          <w:i w:val="0"/>
        </w:rPr>
        <w:t>NovaClarius shall be responsible for claims arising directly from its unauthorised use of the licensed content outside the rights granted under this Agreement.</w:t>
      </w:r>
    </w:p>
    <w:tbl>
      <w:tblPr>
        <w:tblW w:type="auto" w:w="0"/>
        <w:jc w:val="center"/>
        <w:tblLook w:firstColumn="1" w:firstRow="1" w:lastColumn="0" w:lastRow="0" w:noHBand="0" w:noVBand="1" w:val="04A0"/>
      </w:tblPr>
      <w:tblGrid>
        <w:gridCol w:w="9936"/>
      </w:tblGrid>
      <w:tr>
        <w:tc>
          <w:tcPr>
            <w:tcW w:type="dxa" w:w="9936"/>
            <w:shd w:fill="F4F4F2"/>
          </w:tcPr>
          <w:p>
            <w:r>
              <w:rPr>
                <w:b/>
                <w:color w:val="11131A"/>
              </w:rPr>
              <w:t>DATA RETENTION PRINCIPLE</w:t>
            </w:r>
          </w:p>
          <w:p>
            <w:pPr>
              <w:spacing w:after="40"/>
            </w:pPr>
            <w:r>
              <w:t>The purpose is not indefinite storage. Data is retained for a defined business, contractual, legal or compliance purpose and removed or de-identified when it is no longer required.</w:t>
            </w:r>
          </w:p>
        </w:tc>
      </w:tr>
    </w:tbl>
    <w:p>
      <w:r>
        <w:t>The Content Owner may contact NovaClarius regarding privacy or data-protection matters using the contact details stated in the Commercial Schedule or the current CallerTunes privacy contact published by NovaClarius.</w:t>
      </w:r>
    </w:p>
    <w:p>
      <w:pPr>
        <w:spacing w:after="100" w:line="259" w:lineRule="auto"/>
      </w:pPr>
      <w:r>
        <w:t>The Content Owner may request information about personal data held by NovaClarius and may exercise applicable data-subject rights, including rights relating to access, correction and other rights available under applicable Nigerian data-protection law, subject to lawful exceptions and verification requirements.</w:t>
      </w:r>
    </w:p>
    <w:p>
      <w:pPr>
        <w:spacing w:after="100" w:line="259" w:lineRule="auto"/>
      </w:pPr>
      <w:r>
        <w:t>Personal information will be retained only for as long as reasonably necessary for the purpose for which it was collected, including administration of this Agreement, rights verification, accounting, payment, audit, dispute resolution, fraud prevention and legal or regulatory compliance. When information is no longer required, NovaClarius will securely delete it or irreversibly de-identify it, subject to lawful retention requirements.</w:t>
      </w:r>
    </w:p>
    <w:p>
      <w:pPr>
        <w:spacing w:after="100" w:line="259" w:lineRule="auto"/>
      </w:pPr>
      <w:r>
        <w:t>NovaClarius will maintain appropriate internal controls for the handling of personal information and will take reasonable steps to identify, investigate and respond to suspected data-security incidents. Where a legally reportable personal-data breach occurs, NovaClarius will handle the incident and any required notification in accordance with applicable data-protection requirements.</w:t>
      </w:r>
    </w:p>
    <w:p>
      <w:pPr>
        <w:spacing w:after="100" w:line="259" w:lineRule="auto"/>
      </w:pPr>
      <w:r>
        <w:t>Where NovaClarius uses third-party service providers, Operators, technology providers, professional advisers or other parties in connection with the service, information will be shared only to the extent reasonably necessary for the relevant purpose, contractual obligation, legal requirement or service operation, and subject to applicable confidentiality and data-protection obligations.</w:t>
      </w:r>
    </w:p>
    <w:p>
      <w:pPr>
        <w:spacing w:after="100" w:line="259" w:lineRule="auto"/>
      </w:pPr>
      <w:r>
        <w:t>NovaClarius will apply appropriate technical and organisational safeguards designed to protect personal information against unauthorised or unlawful access, use, disclosure, alteration, loss, destruction or other forms of compromise. Access to personal information will be limited to authorised persons and service providers who reasonably need it for the relevant purpose.</w:t>
      </w:r>
    </w:p>
    <w:p>
      <w:pPr>
        <w:spacing w:after="100" w:line="259" w:lineRule="auto"/>
      </w:pPr>
      <w:r>
        <w:t>The information may include the Content Owner’s name, stage name, contact details, identification information, payment details, signed agreements, rights documentation and, where requested, video authorisation. NovaClarius will not use such information for unrelated purposes without an appropriate legal basis or the Content Owner’s consent where consent is required.</w:t>
      </w:r>
    </w:p>
    <w:p>
      <w:pPr>
        <w:spacing w:after="100" w:line="259" w:lineRule="auto"/>
      </w:pPr>
      <w:r>
        <w:t>NovaClarius takes the privacy and security of the Content Owner’s personal information seriously. Personal information provided in connection with this Agreement will be handled only for legitimate business, contractual, legal, regulatory and operational purposes connected with the CallerTunes service and the relationship between the parties.</w:t>
      </w:r>
    </w:p>
    <w:p>
      <w:pPr>
        <w:spacing w:after="100" w:line="259" w:lineRule="auto"/>
      </w:pPr>
      <w:r>
        <w:rPr>
          <w:b/>
        </w:rPr>
        <w:t>14. Data Protection, Security and Retention</w:t>
      </w:r>
    </w:p>
    <w:p>
      <w:pPr>
        <w:pStyle w:val="Heading1"/>
      </w:pPr>
      <w:r>
        <w:t>15. Confidentiality</w:t>
      </w:r>
    </w:p>
    <w:p>
      <w:pPr>
        <w:spacing w:after="100" w:line="259" w:lineRule="auto"/>
      </w:pPr>
      <w:r>
        <w:rPr>
          <w:b w:val="0"/>
          <w:i w:val="0"/>
        </w:rPr>
        <w:t>Each party shall keep confidential non-public commercial, financial, technical and business information received from the other party in connection with this Agreement, except where disclosure is required by law, a regulator or Operator, professional advisers, or is necessary to enforce the Agreement.</w:t>
      </w:r>
    </w:p>
    <w:p>
      <w:pPr>
        <w:pStyle w:val="Heading1"/>
      </w:pPr>
      <w:r>
        <w:t>16. Independent relationship</w:t>
      </w:r>
    </w:p>
    <w:p>
      <w:pPr>
        <w:spacing w:after="100" w:line="259" w:lineRule="auto"/>
      </w:pPr>
      <w:r>
        <w:rPr>
          <w:b w:val="0"/>
          <w:i w:val="0"/>
        </w:rPr>
        <w:t>The parties are independent contracting parties. Nothing in this Agreement creates a partnership, joint venture, employment relationship or general agency relationship between the parties.</w:t>
      </w:r>
    </w:p>
    <w:p>
      <w:pPr>
        <w:pStyle w:val="Heading1"/>
      </w:pPr>
      <w:r>
        <w:t>17. Dispute resolution and governing law</w:t>
      </w:r>
    </w:p>
    <w:p>
      <w:pPr>
        <w:spacing w:after="100" w:line="259" w:lineRule="auto"/>
      </w:pPr>
      <w:r>
        <w:rPr>
          <w:b w:val="0"/>
          <w:i w:val="0"/>
        </w:rPr>
        <w:t>The parties shall first attempt in good faith to resolve any dispute through discussion and negotiation.</w:t>
      </w:r>
    </w:p>
    <w:p>
      <w:pPr>
        <w:spacing w:after="100" w:line="259" w:lineRule="auto"/>
      </w:pPr>
      <w:r>
        <w:rPr>
          <w:b w:val="0"/>
          <w:i w:val="0"/>
        </w:rPr>
        <w:t>If the dispute cannot be resolved amicably, it shall be referred to arbitration in Nigeria in accordance with applicable Nigerian law. This Agreement is governed by the laws of the Federal Republic of Nigeria.</w:t>
      </w:r>
    </w:p>
    <w:p>
      <w:pPr>
        <w:pStyle w:val="Heading1"/>
      </w:pPr>
      <w:r>
        <w:t>18. Notices</w:t>
      </w:r>
    </w:p>
    <w:p>
      <w:pPr>
        <w:spacing w:after="100" w:line="259" w:lineRule="auto"/>
      </w:pPr>
      <w:r>
        <w:rPr>
          <w:b w:val="0"/>
          <w:i w:val="0"/>
        </w:rPr>
        <w:t>Formal notices under this Agreement shall be made in writing and delivered by email, courier, personal delivery or another agreed written method to the contact details contained in the Commercial Schedule.</w:t>
      </w:r>
    </w:p>
    <w:p>
      <w:pPr>
        <w:pStyle w:val="Heading1"/>
      </w:pPr>
      <w:r>
        <w:t>19. Entire agreement and amendments</w:t>
      </w:r>
    </w:p>
    <w:p>
      <w:pPr>
        <w:spacing w:after="100" w:line="259" w:lineRule="auto"/>
      </w:pPr>
      <w:r>
        <w:rPr>
          <w:b w:val="0"/>
          <w:i w:val="0"/>
        </w:rPr>
        <w:t>This Agreement, together with its Content Schedule and Commercial Schedule, constitutes the agreement between the parties concerning the licensed content.</w:t>
      </w:r>
    </w:p>
    <w:p>
      <w:pPr>
        <w:spacing w:after="100" w:line="259" w:lineRule="auto"/>
      </w:pPr>
      <w:r>
        <w:rPr>
          <w:b w:val="0"/>
          <w:i w:val="0"/>
        </w:rPr>
        <w:t>Any amendment must be made in writing and accepted by both parties. Where a Commercial Schedule contains a specific commercial term that differs from the standard commercial terms in this Agreement, the Commercial Schedule prevails only for that specific matter.</w:t>
      </w:r>
    </w:p>
    <w:p>
      <w:r>
        <w:br w:type="page"/>
      </w:r>
    </w:p>
    <w:p>
      <w:pPr>
        <w:pStyle w:val="Heading1"/>
      </w:pPr>
      <w:r>
        <w:t>COMMERCIAL SCHEDULE</w:t>
      </w:r>
    </w:p>
    <w:p>
      <w:pPr>
        <w:spacing w:after="100" w:line="259" w:lineRule="auto"/>
      </w:pPr>
      <w:r>
        <w:rPr>
          <w:b w:val="0"/>
          <w:i w:val="0"/>
        </w:rPr>
        <w:t>This Schedule records the specific commercial terms agreed with the Content Owner.</w:t>
      </w:r>
    </w:p>
    <w:tbl>
      <w:tblPr>
        <w:tblStyle w:val="TableGrid"/>
        <w:tblW w:type="auto" w:w="0"/>
        <w:jc w:val="center"/>
        <w:tblLook w:firstColumn="1" w:firstRow="1" w:lastColumn="0" w:lastRow="0" w:noHBand="0" w:noVBand="1" w:val="04A0"/>
      </w:tblPr>
      <w:tblGrid>
        <w:gridCol w:w="4968"/>
        <w:gridCol w:w="4968"/>
      </w:tblGrid>
      <w:tr>
        <w:tc>
          <w:tcPr>
            <w:tcW w:type="dxa" w:w="4968"/>
            <w:shd w:fill="11131A"/>
          </w:tcPr>
          <w:p>
            <w:r>
              <w:rPr>
                <w:b/>
                <w:color w:val="FFFFFF"/>
                <w:sz w:val="18"/>
              </w:rPr>
              <w:t>ITEM</w:t>
            </w:r>
          </w:p>
        </w:tc>
        <w:tc>
          <w:tcPr>
            <w:tcW w:type="dxa" w:w="4968"/>
            <w:shd w:fill="11131A"/>
          </w:tcPr>
          <w:p>
            <w:r>
              <w:rPr>
                <w:b/>
                <w:color w:val="FFFFFF"/>
                <w:sz w:val="18"/>
              </w:rPr>
              <w:t>AGREED TERM</w:t>
            </w:r>
          </w:p>
        </w:tc>
      </w:tr>
      <w:tr>
        <w:tc>
          <w:tcPr>
            <w:tcW w:type="dxa" w:w="4968"/>
          </w:tcPr>
          <w:p>
            <w:pPr>
              <w:spacing w:after="60"/>
            </w:pPr>
            <w:r>
              <w:rPr>
                <w:b/>
                <w:sz w:val="18"/>
              </w:rPr>
              <w:t>Content Owner / Legal Name</w:t>
            </w:r>
          </w:p>
        </w:tc>
        <w:tc>
          <w:tcPr>
            <w:tcW w:type="dxa" w:w="4968"/>
          </w:tcPr>
          <w:p>
            <w:pPr>
              <w:spacing w:after="60"/>
            </w:pPr>
            <w:r>
              <w:rPr>
                <w:sz w:val="18"/>
              </w:rPr>
              <w:t>____________________________________________</w:t>
            </w:r>
          </w:p>
        </w:tc>
      </w:tr>
      <w:tr>
        <w:tc>
          <w:tcPr>
            <w:tcW w:type="dxa" w:w="4968"/>
          </w:tcPr>
          <w:p>
            <w:pPr>
              <w:spacing w:after="60"/>
            </w:pPr>
            <w:r>
              <w:rPr>
                <w:b/>
                <w:sz w:val="18"/>
              </w:rPr>
              <w:t>Stage / Brand Name</w:t>
            </w:r>
          </w:p>
        </w:tc>
        <w:tc>
          <w:tcPr>
            <w:tcW w:type="dxa" w:w="4968"/>
          </w:tcPr>
          <w:p>
            <w:pPr>
              <w:spacing w:after="60"/>
            </w:pPr>
            <w:r>
              <w:rPr>
                <w:sz w:val="18"/>
              </w:rPr>
              <w:t>____________________________________________</w:t>
            </w:r>
          </w:p>
        </w:tc>
      </w:tr>
      <w:tr>
        <w:tc>
          <w:tcPr>
            <w:tcW w:type="dxa" w:w="4968"/>
          </w:tcPr>
          <w:p>
            <w:pPr>
              <w:spacing w:after="60"/>
            </w:pPr>
            <w:r>
              <w:rPr>
                <w:b/>
                <w:sz w:val="18"/>
              </w:rPr>
              <w:t>Email</w:t>
            </w:r>
          </w:p>
        </w:tc>
        <w:tc>
          <w:tcPr>
            <w:tcW w:type="dxa" w:w="4968"/>
          </w:tcPr>
          <w:p>
            <w:pPr>
              <w:spacing w:after="60"/>
            </w:pPr>
            <w:r>
              <w:rPr>
                <w:sz w:val="18"/>
              </w:rPr>
              <w:t>____________________________________________</w:t>
            </w:r>
          </w:p>
        </w:tc>
      </w:tr>
      <w:tr>
        <w:tc>
          <w:tcPr>
            <w:tcW w:type="dxa" w:w="4968"/>
          </w:tcPr>
          <w:p>
            <w:pPr>
              <w:spacing w:after="60"/>
            </w:pPr>
            <w:r>
              <w:rPr>
                <w:b/>
                <w:sz w:val="18"/>
              </w:rPr>
              <w:t>Phone / WhatsApp</w:t>
            </w:r>
          </w:p>
        </w:tc>
        <w:tc>
          <w:tcPr>
            <w:tcW w:type="dxa" w:w="4968"/>
          </w:tcPr>
          <w:p>
            <w:pPr>
              <w:spacing w:after="60"/>
            </w:pPr>
            <w:r>
              <w:rPr>
                <w:sz w:val="18"/>
              </w:rPr>
              <w:t>____________________________________________</w:t>
            </w:r>
          </w:p>
        </w:tc>
      </w:tr>
      <w:tr>
        <w:tc>
          <w:tcPr>
            <w:tcW w:type="dxa" w:w="4968"/>
          </w:tcPr>
          <w:p>
            <w:pPr>
              <w:spacing w:after="60"/>
            </w:pPr>
            <w:r>
              <w:rPr>
                <w:b/>
                <w:sz w:val="18"/>
              </w:rPr>
              <w:t>Agreement Start Date</w:t>
            </w:r>
          </w:p>
        </w:tc>
        <w:tc>
          <w:tcPr>
            <w:tcW w:type="dxa" w:w="4968"/>
          </w:tcPr>
          <w:p>
            <w:pPr>
              <w:spacing w:after="60"/>
            </w:pPr>
            <w:r>
              <w:rPr>
                <w:sz w:val="18"/>
              </w:rPr>
              <w:t>____________________________________________</w:t>
            </w:r>
          </w:p>
        </w:tc>
      </w:tr>
      <w:tr>
        <w:tc>
          <w:tcPr>
            <w:tcW w:type="dxa" w:w="4968"/>
          </w:tcPr>
          <w:p>
            <w:pPr>
              <w:spacing w:after="60"/>
            </w:pPr>
            <w:r>
              <w:rPr>
                <w:b/>
                <w:sz w:val="18"/>
              </w:rPr>
              <w:t>Agreement End Date</w:t>
            </w:r>
          </w:p>
        </w:tc>
        <w:tc>
          <w:tcPr>
            <w:tcW w:type="dxa" w:w="4968"/>
          </w:tcPr>
          <w:p>
            <w:pPr>
              <w:spacing w:after="60"/>
            </w:pPr>
            <w:r>
              <w:rPr>
                <w:sz w:val="18"/>
              </w:rPr>
              <w:t>____________________________________________</w:t>
            </w:r>
          </w:p>
        </w:tc>
      </w:tr>
      <w:tr>
        <w:tc>
          <w:tcPr>
            <w:tcW w:type="dxa" w:w="4968"/>
          </w:tcPr>
          <w:p>
            <w:pPr>
              <w:spacing w:after="60"/>
            </w:pPr>
            <w:r>
              <w:rPr>
                <w:b/>
                <w:sz w:val="18"/>
              </w:rPr>
              <w:t>Licence Type</w:t>
            </w:r>
          </w:p>
        </w:tc>
        <w:tc>
          <w:tcPr>
            <w:tcW w:type="dxa" w:w="4968"/>
          </w:tcPr>
          <w:p>
            <w:pPr>
              <w:spacing w:after="60"/>
            </w:pPr>
            <w:r>
              <w:rPr>
                <w:sz w:val="18"/>
              </w:rPr>
              <w:t>☐ Exclusive     ☐ Non-Exclusive</w:t>
            </w:r>
          </w:p>
        </w:tc>
      </w:tr>
      <w:tr>
        <w:tc>
          <w:tcPr>
            <w:tcW w:type="dxa" w:w="4968"/>
          </w:tcPr>
          <w:p>
            <w:pPr>
              <w:spacing w:after="60"/>
            </w:pPr>
            <w:r>
              <w:rPr>
                <w:b/>
                <w:sz w:val="18"/>
              </w:rPr>
              <w:t>Territory</w:t>
            </w:r>
          </w:p>
        </w:tc>
        <w:tc>
          <w:tcPr>
            <w:tcW w:type="dxa" w:w="4968"/>
          </w:tcPr>
          <w:p>
            <w:pPr>
              <w:spacing w:after="60"/>
            </w:pPr>
            <w:r>
              <w:rPr>
                <w:sz w:val="18"/>
              </w:rPr>
              <w:t>Nigeria and Africa</w:t>
            </w:r>
          </w:p>
        </w:tc>
      </w:tr>
      <w:tr>
        <w:tc>
          <w:tcPr>
            <w:tcW w:type="dxa" w:w="4968"/>
          </w:tcPr>
          <w:p>
            <w:pPr>
              <w:spacing w:after="60"/>
            </w:pPr>
            <w:r>
              <w:rPr>
                <w:b/>
                <w:sz w:val="18"/>
              </w:rPr>
              <w:t>Term</w:t>
            </w:r>
          </w:p>
        </w:tc>
        <w:tc>
          <w:tcPr>
            <w:tcW w:type="dxa" w:w="4968"/>
          </w:tcPr>
          <w:p>
            <w:pPr>
              <w:spacing w:after="60"/>
            </w:pPr>
            <w:r>
              <w:rPr>
                <w:sz w:val="18"/>
              </w:rPr>
              <w:t>Five (5) years</w:t>
            </w:r>
          </w:p>
        </w:tc>
      </w:tr>
      <w:tr>
        <w:tc>
          <w:tcPr>
            <w:tcW w:type="dxa" w:w="4968"/>
          </w:tcPr>
          <w:p>
            <w:pPr>
              <w:spacing w:after="60"/>
            </w:pPr>
            <w:r>
              <w:rPr>
                <w:b/>
                <w:sz w:val="18"/>
              </w:rPr>
              <w:t>Standard Revenue Share</w:t>
            </w:r>
          </w:p>
        </w:tc>
        <w:tc>
          <w:tcPr>
            <w:tcW w:type="dxa" w:w="4968"/>
          </w:tcPr>
          <w:p>
            <w:pPr>
              <w:spacing w:after="60"/>
            </w:pPr>
            <w:r>
              <w:rPr>
                <w:sz w:val="18"/>
              </w:rPr>
              <w:t>50% of Net Revenue received by NovaClarius from the relevant Operator</w:t>
            </w:r>
          </w:p>
        </w:tc>
      </w:tr>
      <w:tr>
        <w:tc>
          <w:tcPr>
            <w:tcW w:type="dxa" w:w="4968"/>
          </w:tcPr>
          <w:p>
            <w:pPr>
              <w:spacing w:after="60"/>
            </w:pPr>
            <w:r>
              <w:rPr>
                <w:b/>
                <w:sz w:val="18"/>
              </w:rPr>
              <w:t>Agreed Revenue Model</w:t>
            </w:r>
          </w:p>
        </w:tc>
        <w:tc>
          <w:tcPr>
            <w:tcW w:type="dxa" w:w="4968"/>
          </w:tcPr>
          <w:p>
            <w:pPr>
              <w:spacing w:after="60"/>
            </w:pPr>
            <w:r>
              <w:rPr>
                <w:sz w:val="18"/>
              </w:rPr>
              <w:t>☐ Standard 50%     ☐ Alternative arrangement</w:t>
            </w:r>
          </w:p>
        </w:tc>
      </w:tr>
      <w:tr>
        <w:tc>
          <w:tcPr>
            <w:tcW w:type="dxa" w:w="4968"/>
          </w:tcPr>
          <w:p>
            <w:pPr>
              <w:spacing w:after="60"/>
            </w:pPr>
            <w:r>
              <w:rPr>
                <w:b/>
                <w:sz w:val="18"/>
              </w:rPr>
              <w:t>Alternative Commercial Terms</w:t>
            </w:r>
          </w:p>
        </w:tc>
        <w:tc>
          <w:tcPr>
            <w:tcW w:type="dxa" w:w="4968"/>
          </w:tcPr>
          <w:p>
            <w:pPr>
              <w:spacing w:after="60"/>
            </w:pPr>
            <w:r>
              <w:rPr>
                <w:sz w:val="18"/>
              </w:rPr>
              <w:t>____________________________________________</w:t>
              <w:br/>
              <w:t>____________________________________________</w:t>
            </w:r>
          </w:p>
        </w:tc>
      </w:tr>
      <w:tr>
        <w:tc>
          <w:tcPr>
            <w:tcW w:type="dxa" w:w="4968"/>
          </w:tcPr>
          <w:p>
            <w:pPr>
              <w:spacing w:after="60"/>
            </w:pPr>
            <w:r>
              <w:rPr>
                <w:b/>
                <w:sz w:val="18"/>
              </w:rPr>
              <w:t>Payment Cycle</w:t>
            </w:r>
          </w:p>
        </w:tc>
        <w:tc>
          <w:tcPr>
            <w:tcW w:type="dxa" w:w="4968"/>
          </w:tcPr>
          <w:p>
            <w:pPr>
              <w:spacing w:after="60"/>
            </w:pPr>
            <w:r>
              <w:rPr>
                <w:sz w:val="18"/>
              </w:rPr>
              <w:t>☐ Quarterly     ☐ Monthly (where practicable)     ☐ Other: __________</w:t>
            </w:r>
          </w:p>
        </w:tc>
      </w:tr>
      <w:tr>
        <w:tc>
          <w:tcPr>
            <w:tcW w:type="dxa" w:w="4968"/>
          </w:tcPr>
          <w:p>
            <w:pPr>
              <w:spacing w:after="60"/>
            </w:pPr>
            <w:r>
              <w:rPr>
                <w:b/>
                <w:sz w:val="18"/>
              </w:rPr>
              <w:t>Minimum Payout</w:t>
            </w:r>
          </w:p>
        </w:tc>
        <w:tc>
          <w:tcPr>
            <w:tcW w:type="dxa" w:w="4968"/>
          </w:tcPr>
          <w:p>
            <w:pPr>
              <w:spacing w:after="60"/>
            </w:pPr>
            <w:r>
              <w:rPr>
                <w:sz w:val="18"/>
              </w:rPr>
              <w:t>₦10,000 unless otherwise agreed</w:t>
            </w:r>
          </w:p>
        </w:tc>
      </w:tr>
      <w:tr>
        <w:tc>
          <w:tcPr>
            <w:tcW w:type="dxa" w:w="4968"/>
          </w:tcPr>
          <w:p>
            <w:pPr>
              <w:spacing w:after="60"/>
            </w:pPr>
            <w:r>
              <w:rPr>
                <w:b/>
                <w:sz w:val="18"/>
              </w:rPr>
              <w:t>Deployment Package</w:t>
            </w:r>
          </w:p>
        </w:tc>
        <w:tc>
          <w:tcPr>
            <w:tcW w:type="dxa" w:w="4968"/>
          </w:tcPr>
          <w:p>
            <w:pPr>
              <w:spacing w:after="60"/>
            </w:pPr>
            <w:r>
              <w:rPr>
                <w:sz w:val="18"/>
              </w:rPr>
              <w:t>☐ Starter     ☐ Professional     ☐ Label / Creator     ☐ Other: __________</w:t>
            </w:r>
          </w:p>
        </w:tc>
      </w:tr>
    </w:tbl>
    <w:p>
      <w:pPr>
        <w:pStyle w:val="Heading1"/>
      </w:pPr>
      <w:r>
        <w:t>CONTENT SCHEDULE</w:t>
      </w:r>
    </w:p>
    <w:p>
      <w:pPr>
        <w:spacing w:after="100" w:line="259" w:lineRule="auto"/>
      </w:pPr>
      <w:r>
        <w:rPr>
          <w:b w:val="0"/>
          <w:i w:val="0"/>
        </w:rPr>
        <w:t>List the content covered by this Agreement. Additional content may be added by written acceptance or an updated schedule.</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fill="11131A"/>
          </w:tcPr>
          <w:p>
            <w:r>
              <w:rPr>
                <w:b/>
                <w:color w:val="FFFFFF"/>
                <w:sz w:val="17"/>
              </w:rPr>
              <w:t>NO.</w:t>
            </w:r>
          </w:p>
        </w:tc>
        <w:tc>
          <w:tcPr>
            <w:tcW w:type="dxa" w:w="2484"/>
            <w:shd w:fill="11131A"/>
          </w:tcPr>
          <w:p>
            <w:r>
              <w:rPr>
                <w:b/>
                <w:color w:val="FFFFFF"/>
                <w:sz w:val="17"/>
              </w:rPr>
              <w:t>CONTENT TITLE</w:t>
            </w:r>
          </w:p>
        </w:tc>
        <w:tc>
          <w:tcPr>
            <w:tcW w:type="dxa" w:w="2484"/>
            <w:shd w:fill="11131A"/>
          </w:tcPr>
          <w:p>
            <w:r>
              <w:rPr>
                <w:b/>
                <w:color w:val="FFFFFF"/>
                <w:sz w:val="17"/>
              </w:rPr>
              <w:t>ISRC (IF AVAILABLE)</w:t>
            </w:r>
          </w:p>
        </w:tc>
        <w:tc>
          <w:tcPr>
            <w:tcW w:type="dxa" w:w="2484"/>
            <w:shd w:fill="11131A"/>
          </w:tcPr>
          <w:p>
            <w:r>
              <w:rPr>
                <w:b/>
                <w:color w:val="FFFFFF"/>
                <w:sz w:val="17"/>
              </w:rPr>
              <w:t>NOTES / CRBT SECTION</w:t>
            </w:r>
          </w:p>
        </w:tc>
      </w:tr>
      <w:tr>
        <w:tc>
          <w:tcPr>
            <w:tcW w:type="dxa" w:w="2484"/>
          </w:tcPr>
          <w:p>
            <w:pPr>
              <w:spacing w:after="160"/>
            </w:pPr>
            <w:r>
              <w:t>1</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2</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3</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4</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5</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6</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7</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8</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9</w:t>
            </w:r>
          </w:p>
        </w:tc>
        <w:tc>
          <w:tcPr>
            <w:tcW w:type="dxa" w:w="2484"/>
          </w:tcPr>
          <w:p>
            <w:pPr>
              <w:spacing w:after="160"/>
            </w:pPr>
          </w:p>
        </w:tc>
        <w:tc>
          <w:tcPr>
            <w:tcW w:type="dxa" w:w="2484"/>
          </w:tcPr>
          <w:p>
            <w:pPr>
              <w:spacing w:after="160"/>
            </w:pPr>
          </w:p>
        </w:tc>
        <w:tc>
          <w:tcPr>
            <w:tcW w:type="dxa" w:w="2484"/>
          </w:tcPr>
          <w:p>
            <w:pPr>
              <w:spacing w:after="160"/>
            </w:pPr>
          </w:p>
        </w:tc>
      </w:tr>
      <w:tr>
        <w:tc>
          <w:tcPr>
            <w:tcW w:type="dxa" w:w="2484"/>
          </w:tcPr>
          <w:p>
            <w:pPr>
              <w:spacing w:after="160"/>
            </w:pPr>
            <w:r>
              <w:t>10</w:t>
            </w:r>
          </w:p>
        </w:tc>
        <w:tc>
          <w:tcPr>
            <w:tcW w:type="dxa" w:w="2484"/>
          </w:tcPr>
          <w:p>
            <w:pPr>
              <w:spacing w:after="160"/>
            </w:pPr>
          </w:p>
        </w:tc>
        <w:tc>
          <w:tcPr>
            <w:tcW w:type="dxa" w:w="2484"/>
          </w:tcPr>
          <w:p>
            <w:pPr>
              <w:spacing w:after="160"/>
            </w:pPr>
          </w:p>
        </w:tc>
        <w:tc>
          <w:tcPr>
            <w:tcW w:type="dxa" w:w="2484"/>
          </w:tcPr>
          <w:p>
            <w:pPr>
              <w:spacing w:after="160"/>
            </w:pPr>
          </w:p>
        </w:tc>
      </w:tr>
    </w:tbl>
    <w:p>
      <w:pPr>
        <w:pStyle w:val="Heading1"/>
      </w:pPr>
      <w:r>
        <w:t>RIGHTS &amp; AUTHORISATION CHECKLIST</w:t>
      </w:r>
    </w:p>
    <w:p>
      <w:pPr>
        <w:pStyle w:val="ListBullet"/>
        <w:spacing w:after="40" w:line="252" w:lineRule="auto"/>
      </w:pPr>
      <w:r>
        <w:t>☐ Ownership / authority confirmed.</w:t>
      </w:r>
    </w:p>
    <w:p>
      <w:pPr>
        <w:pStyle w:val="ListBullet"/>
        <w:spacing w:after="40" w:line="252" w:lineRule="auto"/>
      </w:pPr>
      <w:r>
        <w:t>☐ Valid ID supplied where required.</w:t>
      </w:r>
    </w:p>
    <w:p>
      <w:pPr>
        <w:pStyle w:val="ListBullet"/>
        <w:spacing w:after="40" w:line="252" w:lineRule="auto"/>
      </w:pPr>
      <w:r>
        <w:t>☐ Signed rights / authorisation documentation supplied.</w:t>
      </w:r>
    </w:p>
    <w:p>
      <w:pPr>
        <w:pStyle w:val="ListBullet"/>
        <w:spacing w:after="40" w:line="252" w:lineRule="auto"/>
      </w:pPr>
      <w:r>
        <w:t>☐ Co-owner / contributor / label / publisher permissions supplied where applicable.</w:t>
      </w:r>
    </w:p>
    <w:p>
      <w:pPr>
        <w:pStyle w:val="ListBullet"/>
        <w:spacing w:after="40" w:line="252" w:lineRule="auto"/>
      </w:pPr>
      <w:r>
        <w:t>☐ Cover / sample / remix / collaboration permissions supplied where applicable.</w:t>
      </w:r>
    </w:p>
    <w:p>
      <w:pPr>
        <w:pStyle w:val="ListBullet"/>
        <w:spacing w:after="40" w:line="252" w:lineRule="auto"/>
      </w:pPr>
      <w:r>
        <w:t>☐ Video Authorisation supplied where requested.</w:t>
      </w:r>
    </w:p>
    <w:p>
      <w:pPr>
        <w:pStyle w:val="ListBullet"/>
        <w:spacing w:after="40" w:line="252" w:lineRule="auto"/>
      </w:pPr>
      <w:r>
        <w:t>☐ Additional Operator documents supplied where applicable.</w:t>
      </w:r>
    </w:p>
    <w:p>
      <w:pPr>
        <w:pStyle w:val="Heading1"/>
      </w:pPr>
      <w:r>
        <w:t>SIGNATURES</w:t>
      </w:r>
    </w:p>
    <w:p>
      <w:pPr>
        <w:spacing w:after="100" w:line="259" w:lineRule="auto"/>
      </w:pPr>
      <w:r>
        <w:rPr>
          <w:b w:val="0"/>
          <w:i w:val="0"/>
        </w:rPr>
        <w:t>By signing below, the parties confirm that they have read and understood this Agreement and agree to be bound by its terms.</w:t>
      </w:r>
    </w:p>
    <w:tbl>
      <w:tblPr>
        <w:tblStyle w:val="TableGrid"/>
        <w:tblW w:type="auto" w:w="0"/>
        <w:jc w:val="center"/>
        <w:tblLook w:firstColumn="1" w:firstRow="1" w:lastColumn="0" w:lastRow="0" w:noHBand="0" w:noVBand="1" w:val="04A0"/>
      </w:tblPr>
      <w:tblGrid>
        <w:gridCol w:w="4968"/>
        <w:gridCol w:w="4968"/>
      </w:tblGrid>
      <w:tr>
        <w:tc>
          <w:tcPr>
            <w:tcW w:type="dxa" w:w="4968"/>
          </w:tcPr>
          <w:p>
            <w:r>
              <w:rPr>
                <w:b/>
                <w:color w:val="D6A84A"/>
                <w:sz w:val="19"/>
              </w:rPr>
              <w:t>FOR NOVACLARIUS LIMITED</w:t>
            </w:r>
          </w:p>
        </w:tc>
        <w:tc>
          <w:tcPr>
            <w:tcW w:type="dxa" w:w="4968"/>
          </w:tcPr>
          <w:p>
            <w:r>
              <w:rPr>
                <w:b/>
                <w:color w:val="D6A84A"/>
                <w:sz w:val="19"/>
              </w:rPr>
              <w:t>FOR CONTENT OWNER</w:t>
            </w:r>
          </w:p>
        </w:tc>
      </w:tr>
      <w:tr>
        <w:tc>
          <w:tcPr>
            <w:tcW w:type="dxa" w:w="4968"/>
          </w:tcPr>
          <w:p>
            <w:r>
              <w:rPr>
                <w:sz w:val="19"/>
              </w:rPr>
              <w:t>Name: Funso ‘niyi-Oladele</w:t>
            </w:r>
          </w:p>
        </w:tc>
        <w:tc>
          <w:tcPr>
            <w:tcW w:type="dxa" w:w="4968"/>
          </w:tcPr>
          <w:p>
            <w:r>
              <w:rPr>
                <w:sz w:val="19"/>
              </w:rPr>
              <w:t>Name: __________________________________</w:t>
            </w:r>
          </w:p>
        </w:tc>
      </w:tr>
      <w:tr>
        <w:tc>
          <w:tcPr>
            <w:tcW w:type="dxa" w:w="4968"/>
          </w:tcPr>
          <w:p>
            <w:r>
              <w:rPr>
                <w:sz w:val="19"/>
              </w:rPr>
              <w:t>Designation: __________________________</w:t>
            </w:r>
          </w:p>
        </w:tc>
        <w:tc>
          <w:tcPr>
            <w:tcW w:type="dxa" w:w="4968"/>
          </w:tcPr>
          <w:p>
            <w:r>
              <w:rPr>
                <w:sz w:val="19"/>
              </w:rPr>
              <w:t>Stage / Brand Name: ____________________</w:t>
            </w:r>
          </w:p>
        </w:tc>
      </w:tr>
      <w:tr>
        <w:tc>
          <w:tcPr>
            <w:tcW w:type="dxa" w:w="4968"/>
          </w:tcPr>
          <w:p>
            <w:r>
              <w:rPr>
                <w:sz w:val="19"/>
              </w:rPr>
              <w:t>Signature: _____________________________</w:t>
            </w:r>
          </w:p>
        </w:tc>
        <w:tc>
          <w:tcPr>
            <w:tcW w:type="dxa" w:w="4968"/>
          </w:tcPr>
          <w:p>
            <w:r>
              <w:rPr>
                <w:sz w:val="19"/>
              </w:rPr>
              <w:t>Signature: ______________________________</w:t>
            </w:r>
          </w:p>
        </w:tc>
      </w:tr>
      <w:tr>
        <w:tc>
          <w:tcPr>
            <w:tcW w:type="dxa" w:w="4968"/>
          </w:tcPr>
          <w:p>
            <w:r>
              <w:rPr>
                <w:sz w:val="19"/>
              </w:rPr>
              <w:t>Date: __________________________________</w:t>
            </w:r>
          </w:p>
        </w:tc>
        <w:tc>
          <w:tcPr>
            <w:tcW w:type="dxa" w:w="4968"/>
          </w:tcPr>
          <w:p>
            <w:r>
              <w:rPr>
                <w:sz w:val="19"/>
              </w:rPr>
              <w:t>Date: __________________________________</w:t>
            </w:r>
          </w:p>
        </w:tc>
      </w:tr>
      <w:tr>
        <w:tc>
          <w:tcPr>
            <w:tcW w:type="dxa" w:w="4968"/>
          </w:tcPr>
          <w:p>
            <w:r>
              <w:rPr>
                <w:sz w:val="19"/>
              </w:rPr>
              <w:t>Company: NovaClarius Limited</w:t>
            </w:r>
          </w:p>
        </w:tc>
        <w:tc>
          <w:tcPr>
            <w:tcW w:type="dxa" w:w="4968"/>
          </w:tcPr>
          <w:p>
            <w:r>
              <w:rPr>
                <w:sz w:val="19"/>
              </w:rPr>
              <w:t>Capacity: Artist / Rights Holder / Authorised Representative</w:t>
            </w:r>
          </w:p>
        </w:tc>
      </w:tr>
    </w:tbl>
    <w:p/>
    <w:tbl>
      <w:tblPr>
        <w:tblW w:type="auto" w:w="0"/>
        <w:jc w:val="center"/>
        <w:tblLook w:firstColumn="1" w:firstRow="1" w:lastColumn="0" w:lastRow="0" w:noHBand="0" w:noVBand="1" w:val="04A0"/>
      </w:tblPr>
      <w:tblGrid>
        <w:gridCol w:w="9936"/>
      </w:tblGrid>
      <w:tr>
        <w:tc>
          <w:tcPr>
            <w:tcW w:type="dxa" w:w="9936"/>
            <w:shd w:fill="F4F4F2"/>
          </w:tcPr>
          <w:p>
            <w:r>
              <w:rPr>
                <w:b/>
                <w:color w:val="11131A"/>
              </w:rPr>
              <w:t>LEGAL REVIEW</w:t>
            </w:r>
          </w:p>
          <w:p>
            <w:pPr>
              <w:spacing w:after="40"/>
            </w:pPr>
            <w:r>
              <w:t>This is a business-ready draft for review. Qualified Nigerian legal counsel should review the final execution version before it is adopted as the binding standard agreement.</w:t>
            </w:r>
          </w:p>
        </w:tc>
      </w:tr>
    </w:tbl>
    <w:p>
      <w:pPr>
        <w:spacing w:after="20"/>
      </w:pP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CallerTunes CRBT Distribution Agreement  •  Confidential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B6068"/>
        <w:sz w:val="16"/>
      </w:rPr>
      <w:t>CALLERTUNES  /  NOVACLARIUS LIMITED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CallerTunes CRBT Distribution Agreement</dc:title>
  <dc:subject>CRBT distribution, rights, data protection and commercial terms</dc:subject>
  <dc:creator>NovaClarius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